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30F33807"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4A0832" w:rsidRPr="004A0832">
        <w:rPr>
          <w:rFonts w:ascii="GHEA Grapalat" w:hAnsi="GHEA Grapalat"/>
          <w:b/>
          <w:lang w:val="hy-AM"/>
        </w:rPr>
        <w:t xml:space="preserve">ՌԻՍԿԻ ԳՆԱՀԱՏՄԱՆ (ԿԱՌԱՎԱՐՄԱՆ) և ՎԵՐԼՈՒԾՈՒԹՅՈՒՆՆԵՐԻ ՎԱՐՉՈՒԹՅՈՒՆՈՒՄ </w:t>
      </w:r>
      <w:r w:rsidR="00A32EBC" w:rsidRPr="004A0832">
        <w:rPr>
          <w:rFonts w:ascii="GHEA Grapalat" w:hAnsi="GHEA Grapalat"/>
          <w:b/>
          <w:lang w:val="hy-AM"/>
        </w:rPr>
        <w:t>ՓՈՐՁԱԳԵՏ ՆԵՐԳՐԱՎԵԼՈՒ</w:t>
      </w:r>
      <w:r w:rsidR="00A32EBC" w:rsidRPr="007C6EA6">
        <w:rPr>
          <w:rFonts w:ascii="GHEA Grapalat" w:eastAsiaTheme="minorHAnsi" w:hAnsi="GHEA Grapalat" w:cstheme="minorBidi"/>
          <w:b/>
          <w:bCs/>
          <w:lang w:val="hy-AM"/>
        </w:rPr>
        <w:t xml:space="preserve">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7744839E" w14:textId="77777777" w:rsidR="004A0832" w:rsidRPr="00CD75FC"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sidRPr="00CD75FC">
        <w:rPr>
          <w:rFonts w:ascii="GHEA Grapalat" w:hAnsi="GHEA Grapalat"/>
          <w:sz w:val="24"/>
          <w:szCs w:val="24"/>
          <w:shd w:val="clear" w:color="auto" w:fill="FFFFFF"/>
          <w:lang w:val="hy-AM"/>
        </w:rPr>
        <w:t>իրականացնում է սննդամթերքի, անասնաբուժության և բուսասանիտարիայի ոլորտներում, յուրաքանչյուրի ոլորտի համար սահմանված ձևաչափով ռիսկերի վերաբերյալ հաղորդակցության իրականացումը  (տեղեկատվության տրամադրում ռիսկերի գնահատման գիտական կազմակերպություններին, միջազգային լիազոր մարմիններին, միջազգային մյուս կառույցների հետ տեղեկատվության փոխանակում, պետական և տեղական ինքնակառավարման մարմիններին, սպառողներին (ԶԼՄ-ների միջոցով, այդ թվում՝ Տեսչական մարմնի պաշտոնական կայքին) և այլ շահառուներին ռիսկերի կառավարման (կանխարգելման և նվազեցման) նպատակով  տեղեկատվության տրամադրման աշխատանքները.</w:t>
      </w:r>
    </w:p>
    <w:p w14:paraId="1A7A2DD3" w14:textId="77777777" w:rsidR="004A0832" w:rsidRPr="00CD75FC"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sidRPr="00CD75FC">
        <w:rPr>
          <w:rFonts w:ascii="GHEA Grapalat" w:hAnsi="GHEA Grapalat"/>
          <w:sz w:val="24"/>
          <w:szCs w:val="24"/>
          <w:shd w:val="clear" w:color="auto" w:fill="FFFFFF"/>
          <w:lang w:val="hy-AM"/>
        </w:rPr>
        <w:t>իրականացնում է սննդամթերքի և կերի անվտանգության, անասնաբուժության և բուսասանիտարիայի բնագավառներում գործունեություն իրականացնող ֆիզիկական և իրավաբանական անձանցից օրենսդրությամբ նախատեսված դեպքերում և կարգով, երեք ոլորտների վերահսկողության (ստուգում, դիտարկում, մշտադիտարկում, ուսումնասիրություն, մոնիթորինգ, աուդիտ և այլն) արդյունքների, ինչպես նաև դիմում-բողոքների, պետական և տեղական ինքնակառավարման կառույցներից կողմից ստացված անհամապատասխանությունների, թունավորումների, կենդանիների և բույսերի առողջության ու վտանգավորության  վերաբերյալ  համապատասխան տեղեկատվության, տվյալների և հաշվետվությունների հավաքագրման, վերլուծության, ըստ ոլորտների  էլեկտրոնային տեղեկատվական բազաների ստեղծման և վարման աշխատանքները.</w:t>
      </w:r>
    </w:p>
    <w:p w14:paraId="5C3CC101" w14:textId="77777777" w:rsidR="004A0832" w:rsidRPr="00CD75FC"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sidRPr="00CD75FC">
        <w:rPr>
          <w:rFonts w:ascii="GHEA Grapalat" w:hAnsi="GHEA Grapalat"/>
          <w:sz w:val="24"/>
          <w:szCs w:val="24"/>
          <w:shd w:val="clear" w:color="auto" w:fill="FFFFFF"/>
          <w:lang w:val="hy-AM"/>
        </w:rPr>
        <w:t>իրականացնում է սննդամթերքի և կերի անվտանգության, անասնաբուժության ու բուսասանիտարիայի</w:t>
      </w:r>
      <w:r>
        <w:rPr>
          <w:rFonts w:ascii="GHEA Grapalat" w:hAnsi="GHEA Grapalat"/>
          <w:sz w:val="24"/>
          <w:szCs w:val="24"/>
          <w:shd w:val="clear" w:color="auto" w:fill="FFFFFF"/>
          <w:lang w:val="hy-AM"/>
        </w:rPr>
        <w:t xml:space="preserve"> ոլորտների</w:t>
      </w:r>
      <w:r w:rsidRPr="00CD75FC">
        <w:rPr>
          <w:rFonts w:ascii="GHEA Grapalat" w:hAnsi="GHEA Grapalat"/>
          <w:sz w:val="24"/>
          <w:szCs w:val="24"/>
          <w:shd w:val="clear" w:color="auto" w:fill="FFFFFF"/>
          <w:lang w:val="hy-AM"/>
        </w:rPr>
        <w:t xml:space="preserve"> համար սահմանված ռիսկայնության չափորոշիչներով պայմանավորված, ստեղծված էլեկտրոնային տեղեկատվական </w:t>
      </w:r>
      <w:r w:rsidRPr="00CD75FC">
        <w:rPr>
          <w:rFonts w:ascii="GHEA Grapalat" w:hAnsi="GHEA Grapalat"/>
          <w:sz w:val="24"/>
          <w:szCs w:val="24"/>
          <w:shd w:val="clear" w:color="auto" w:fill="FFFFFF"/>
          <w:lang w:val="hy-AM"/>
        </w:rPr>
        <w:lastRenderedPageBreak/>
        <w:t>բազաների միջոցով յուրաքանչյուր ոլորտի իրավիճակի վերլուծության և համակարգչային ծրագրի միջոցով ըստ ոլորտների (նաև ըստ գործունեության տեսակների, անհատական և տեղայնության) ռիսկայնության (բարձր, միջին, ցածր) դասակարգման աշխատանքները.</w:t>
      </w:r>
    </w:p>
    <w:p w14:paraId="21C53CE6" w14:textId="77777777" w:rsidR="004A0832" w:rsidRPr="00CD75FC"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sidRPr="00CD75FC">
        <w:rPr>
          <w:rFonts w:ascii="GHEA Grapalat" w:hAnsi="GHEA Grapalat"/>
          <w:sz w:val="24"/>
          <w:szCs w:val="24"/>
          <w:shd w:val="clear" w:color="auto" w:fill="FFFFFF"/>
          <w:lang w:val="hy-AM"/>
        </w:rPr>
        <w:t>իրականացնում է թունավորումների, անասնահամաճարակների և հանրապետությունում արձանագրված արտակարգ դեպքերի հայտնաբերման ժամանակ համատեղ  սանիտարահիգիենիկ և հակահամաճարակային վերահսկողություն իրականացնող, արտակարգ իրավիճակների, մարզպետարանների և համայնքների պատասխանատու կառույցների հետ ռիսկերի նվազեցման ու կանխարգելման նպատակով միջոցառումների  պլան-ծրագրի մշակման և կազմման աշխատանքները.</w:t>
      </w:r>
    </w:p>
    <w:p w14:paraId="26BE0EDC" w14:textId="77777777" w:rsidR="004A0832" w:rsidRPr="00CD75FC"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sidRPr="00CD75FC">
        <w:rPr>
          <w:rFonts w:ascii="GHEA Grapalat" w:hAnsi="GHEA Grapalat"/>
          <w:sz w:val="24"/>
          <w:szCs w:val="24"/>
          <w:shd w:val="clear" w:color="auto" w:fill="FFFFFF"/>
          <w:lang w:val="hy-AM"/>
        </w:rPr>
        <w:t>իրականացնում է Հայաստանի Հանրապետության տարածք վտանգավոր սննդամթերքի, կենդանիների հատուկ վտանգավոր և վարակիչ հիվանդությունների, բույսերի վնասակար  օրգանիզմների ներթափանցման կանխարգելման նպատակով    ԵԱՏՄ-ի, ԵՄ-ի և միջազգային այլ կառույցների (Կենդանիների առողջության համաշխարհային կազմակերպության, Առողջության համաշխարհային կազմակերպութուն, Առևտրի համաշխարհային կազմակերպության, Բույսերի կարանտինի և պաշտպանության Եվրոպական և Միջերկրածովյան կազմակերպություն,  սննդամթերքի և կերի անվտանգության  արագ արձագանքման կազմակերպություն և այլն) պետական պաշտոնական և տեղեկատվական այլ կայքերում տեղադրված տեղեկատվության պարբերաբար ուսումնասիրության ու հավաքագրման, ամփոփման, վերլուծման և սահմանափակումների վերաբերյալ հրամանի, հանձնարարականի նախագիծ-առաջարկությունների ներկայացման աշխատանքները.</w:t>
      </w:r>
    </w:p>
    <w:p w14:paraId="644CD673" w14:textId="77777777" w:rsidR="004A0832" w:rsidRPr="00CD75FC"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sidRPr="00CD75FC">
        <w:rPr>
          <w:rFonts w:ascii="GHEA Grapalat" w:hAnsi="GHEA Grapalat"/>
          <w:sz w:val="24"/>
          <w:szCs w:val="24"/>
          <w:shd w:val="clear" w:color="auto" w:fill="FFFFFF"/>
          <w:lang w:val="hy-AM"/>
        </w:rPr>
        <w:t>իրականացնում է յուրաքանչյուր տարվա համար սննդամթերքի, անասնաբուժության և բուսասանիտարիայի ոլորտների ստուգումների պլանի/ծրագրի կազմման աշխատանքները` ելնելով սահմանված ռիսկայնության չափանիշներով դասակարգված տնտեսավորողների բազայից.</w:t>
      </w:r>
    </w:p>
    <w:p w14:paraId="72CBF362" w14:textId="77777777" w:rsidR="004A0832" w:rsidRDefault="004A0832" w:rsidP="00CD75FC">
      <w:pPr>
        <w:pStyle w:val="ListParagraph"/>
        <w:numPr>
          <w:ilvl w:val="0"/>
          <w:numId w:val="10"/>
        </w:numPr>
        <w:spacing w:after="0"/>
        <w:ind w:left="360"/>
        <w:jc w:val="both"/>
        <w:rPr>
          <w:rFonts w:ascii="GHEA Grapalat" w:hAnsi="GHEA Grapalat"/>
          <w:color w:val="000000"/>
          <w:sz w:val="24"/>
          <w:szCs w:val="24"/>
          <w:shd w:val="clear" w:color="auto" w:fill="FFFFFF"/>
          <w:lang w:val="hy-AM"/>
        </w:rPr>
      </w:pPr>
      <w:r>
        <w:rPr>
          <w:rFonts w:ascii="GHEA Grapalat" w:hAnsi="GHEA Grapalat" w:cs="Sylfaen"/>
          <w:color w:val="000000"/>
          <w:sz w:val="24"/>
          <w:szCs w:val="24"/>
          <w:shd w:val="clear" w:color="auto" w:fill="FFFFFF"/>
          <w:lang w:val="hy-AM"/>
        </w:rPr>
        <w:t>իրականացնում է Հայաստանի</w:t>
      </w:r>
      <w:r>
        <w:rPr>
          <w:rFonts w:ascii="GHEA Grapalat" w:hAnsi="GHEA Grapalat"/>
          <w:color w:val="000000"/>
          <w:sz w:val="24"/>
          <w:szCs w:val="24"/>
          <w:shd w:val="clear" w:color="auto" w:fill="FFFFFF"/>
          <w:lang w:val="hy-AM"/>
        </w:rPr>
        <w:t xml:space="preserve"> Հանրապետության բնակչության կողմից օգտագործվող սննդում յոդի անբավարարության հետևանքների դեմ պայքարի և կանխարգելման նպատակով (ՄԱԿ-ի Առողջապահության համաշխարհային կազմակերպության տվյալների  համաձայն)  կ</w:t>
      </w:r>
      <w:r>
        <w:rPr>
          <w:rFonts w:ascii="GHEA Grapalat" w:hAnsi="GHEA Grapalat"/>
          <w:sz w:val="24"/>
          <w:szCs w:val="24"/>
          <w:lang w:val="af-ZA"/>
        </w:rPr>
        <w:t xml:space="preserve">երակրի աղում յոդի պարունակության պետական վերահսկողության ու դիտարկման իրականացման </w:t>
      </w:r>
      <w:r>
        <w:rPr>
          <w:rFonts w:ascii="GHEA Grapalat" w:hAnsi="GHEA Grapalat"/>
          <w:sz w:val="24"/>
          <w:szCs w:val="24"/>
          <w:lang w:val="hy-AM"/>
        </w:rPr>
        <w:t xml:space="preserve">համար ժամանակացույցի կազմման </w:t>
      </w:r>
      <w:r>
        <w:rPr>
          <w:rFonts w:ascii="GHEA Grapalat" w:hAnsi="GHEA Grapalat"/>
          <w:sz w:val="24"/>
          <w:szCs w:val="24"/>
          <w:lang w:val="af-ZA"/>
        </w:rPr>
        <w:t xml:space="preserve">և </w:t>
      </w:r>
      <w:r>
        <w:rPr>
          <w:rFonts w:ascii="GHEA Grapalat" w:hAnsi="GHEA Grapalat"/>
          <w:sz w:val="24"/>
          <w:szCs w:val="24"/>
          <w:lang w:val="hy-AM"/>
        </w:rPr>
        <w:t xml:space="preserve">արդյունքների վերաբերյալ </w:t>
      </w:r>
      <w:r>
        <w:rPr>
          <w:rFonts w:ascii="GHEA Grapalat" w:hAnsi="GHEA Grapalat"/>
          <w:sz w:val="24"/>
          <w:szCs w:val="24"/>
          <w:lang w:val="af-ZA"/>
        </w:rPr>
        <w:t>տեղեկատվության փոխանակ</w:t>
      </w:r>
      <w:r>
        <w:rPr>
          <w:rFonts w:ascii="GHEA Grapalat" w:hAnsi="GHEA Grapalat"/>
          <w:sz w:val="24"/>
          <w:szCs w:val="24"/>
          <w:lang w:val="hy-AM"/>
        </w:rPr>
        <w:t>ման</w:t>
      </w:r>
      <w:r>
        <w:rPr>
          <w:rFonts w:ascii="GHEA Grapalat" w:hAnsi="GHEA Grapalat"/>
          <w:sz w:val="24"/>
          <w:szCs w:val="24"/>
          <w:lang w:val="af-ZA"/>
        </w:rPr>
        <w:t xml:space="preserve"> ու հանրայնաց</w:t>
      </w:r>
      <w:r>
        <w:rPr>
          <w:rFonts w:ascii="GHEA Grapalat" w:hAnsi="GHEA Grapalat"/>
          <w:sz w:val="24"/>
          <w:szCs w:val="24"/>
          <w:lang w:val="hy-AM"/>
        </w:rPr>
        <w:t xml:space="preserve">ման աշխատանքները. </w:t>
      </w:r>
    </w:p>
    <w:p w14:paraId="1544EF3D" w14:textId="77777777" w:rsidR="004A0832" w:rsidRDefault="004A0832" w:rsidP="00CD75FC">
      <w:pPr>
        <w:pStyle w:val="ListParagraph"/>
        <w:numPr>
          <w:ilvl w:val="0"/>
          <w:numId w:val="10"/>
        </w:numPr>
        <w:spacing w:after="0"/>
        <w:ind w:left="360"/>
        <w:jc w:val="both"/>
        <w:rPr>
          <w:rFonts w:ascii="GHEA Grapalat" w:hAnsi="GHEA Grapalat"/>
          <w:sz w:val="24"/>
          <w:szCs w:val="24"/>
          <w:shd w:val="clear" w:color="auto" w:fill="FFFFFF"/>
          <w:lang w:val="hy-AM"/>
        </w:rPr>
      </w:pPr>
      <w:r>
        <w:rPr>
          <w:rFonts w:ascii="GHEA Grapalat" w:hAnsi="GHEA Grapalat" w:cs="Sylfaen"/>
          <w:sz w:val="24"/>
          <w:szCs w:val="24"/>
          <w:shd w:val="clear" w:color="auto" w:fill="FFFFFF"/>
          <w:lang w:val="hy-AM"/>
        </w:rPr>
        <w:lastRenderedPageBreak/>
        <w:t>իրականացնում է ս</w:t>
      </w:r>
      <w:r>
        <w:rPr>
          <w:rFonts w:ascii="GHEA Grapalat" w:hAnsi="GHEA Grapalat"/>
          <w:sz w:val="24"/>
          <w:szCs w:val="24"/>
          <w:shd w:val="clear" w:color="auto" w:fill="FFFFFF"/>
          <w:lang w:val="hy-AM"/>
        </w:rPr>
        <w:t xml:space="preserve">ննդամթերքի և կերի անվտանգության, անասնաբուժության և բուսասանիտարիայի բնագավառներում նախորդ տարվա վերլուծությունների արդյունքներից ելնելով, օրենսդրությամբ սահմանված կարգով ճանաչված/հաստատված գիտական կենտրոններին (համագործակցում և համատեղ կազմվում է ռիսկի գնահատման ծրագիր) յուրաքանչյուր ոլորտների համար առնվազն  երկու ռիսկի գնահատման պատվիրակման աշխատանքները (վտանգի նույնականացում, բնութագրում, վտանգին ենթակա լինելու կամ վտանգի հանդեպ անպաշտպանվածության աստիճանի գնահատում). </w:t>
      </w:r>
    </w:p>
    <w:p w14:paraId="70EB9586" w14:textId="28F78AA9" w:rsidR="00E720D8" w:rsidRPr="004A0832" w:rsidRDefault="004A0832" w:rsidP="00CD75FC">
      <w:pPr>
        <w:pStyle w:val="ListParagraph"/>
        <w:numPr>
          <w:ilvl w:val="0"/>
          <w:numId w:val="10"/>
        </w:numPr>
        <w:spacing w:after="0"/>
        <w:ind w:left="360"/>
        <w:jc w:val="both"/>
        <w:rPr>
          <w:rFonts w:ascii="GHEA Grapalat" w:hAnsi="GHEA Grapalat"/>
          <w:sz w:val="24"/>
          <w:szCs w:val="24"/>
          <w:lang w:val="hy-AM"/>
        </w:rPr>
      </w:pPr>
      <w:r>
        <w:rPr>
          <w:rFonts w:ascii="GHEA Grapalat" w:hAnsi="GHEA Grapalat"/>
          <w:sz w:val="24"/>
          <w:szCs w:val="24"/>
          <w:shd w:val="clear" w:color="auto" w:fill="FFFFFF"/>
          <w:lang w:val="hy-AM"/>
        </w:rPr>
        <w:t xml:space="preserve">իրականացնում է Հայաստանի Հանրապետության սահմանով ներմուծված սննդամթերքի, անասնաբուժական և բուսասանիտարական հսկման ենթակա բեռների ըստ ռիսկայնության դասակարգման չափանիշների և </w:t>
      </w:r>
      <w:r>
        <w:rPr>
          <w:rFonts w:ascii="GHEA Grapalat" w:hAnsi="GHEA Grapalat" w:cs="Sylfaen"/>
          <w:sz w:val="24"/>
          <w:szCs w:val="24"/>
          <w:lang w:val="hy-AM"/>
        </w:rPr>
        <w:t xml:space="preserve">ռիսկի կառավարման (գնահատման) մեթոդաբանության մշակման, անհրաժեշտության դեպքում </w:t>
      </w:r>
      <w:r>
        <w:rPr>
          <w:rFonts w:ascii="GHEA Grapalat" w:hAnsi="GHEA Grapalat"/>
          <w:sz w:val="24"/>
          <w:szCs w:val="24"/>
          <w:shd w:val="clear" w:color="auto" w:fill="FFFFFF"/>
          <w:lang w:val="hy-AM"/>
        </w:rPr>
        <w:t>առնվազն երեք տարին մեկ</w:t>
      </w:r>
      <w:r>
        <w:rPr>
          <w:rFonts w:ascii="GHEA Grapalat" w:hAnsi="GHEA Grapalat" w:cs="Sylfaen"/>
          <w:sz w:val="24"/>
          <w:szCs w:val="24"/>
          <w:lang w:val="hy-AM"/>
        </w:rPr>
        <w:t xml:space="preserve"> դրա վերանայման աշխատանքները</w:t>
      </w:r>
      <w:r>
        <w:rPr>
          <w:rFonts w:ascii="GHEA Grapalat" w:hAnsi="GHEA Grapalat"/>
          <w:sz w:val="24"/>
          <w:szCs w:val="24"/>
          <w:shd w:val="clear" w:color="auto" w:fill="FFFFFF"/>
          <w:lang w:val="hy-AM"/>
        </w:rPr>
        <w:t>` ելնելով միջազգային, ԵՄ-ի և ԵԱՏՄ-ի</w:t>
      </w:r>
      <w:r>
        <w:rPr>
          <w:rFonts w:ascii="Arial" w:hAnsi="Arial" w:cs="Arial"/>
          <w:sz w:val="24"/>
          <w:szCs w:val="24"/>
          <w:lang w:val="hy-AM"/>
        </w:rPr>
        <w:t xml:space="preserve">  </w:t>
      </w:r>
      <w:r>
        <w:rPr>
          <w:rFonts w:ascii="GHEA Grapalat" w:hAnsi="GHEA Grapalat"/>
          <w:color w:val="000000"/>
          <w:sz w:val="24"/>
          <w:szCs w:val="24"/>
          <w:shd w:val="clear" w:color="auto" w:fill="FFFFFF"/>
          <w:lang w:val="hy-AM"/>
        </w:rPr>
        <w:t>անդամակցության երկրների ներդրված լավագույն փորձից</w:t>
      </w:r>
      <w:r w:rsidR="00E720D8" w:rsidRPr="004A0832">
        <w:rPr>
          <w:rFonts w:ascii="GHEA Grapalat" w:hAnsi="GHEA Grapalat"/>
          <w:lang w:val="hy-AM"/>
        </w:rPr>
        <w:t>:</w:t>
      </w:r>
    </w:p>
    <w:p w14:paraId="08A4F42A" w14:textId="6B2550C3"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4A0832" w:rsidRPr="00CD75FC">
        <w:rPr>
          <w:rFonts w:ascii="GHEA Grapalat" w:eastAsiaTheme="minorHAnsi" w:hAnsi="GHEA Grapalat" w:cstheme="minorBidi"/>
          <w:b/>
          <w:lang w:val="hy-AM"/>
        </w:rPr>
        <w:t>մեկ տարի</w:t>
      </w:r>
      <w:r w:rsidR="00ED5B2F" w:rsidRPr="00CD75FC">
        <w:rPr>
          <w:rFonts w:ascii="GHEA Grapalat" w:eastAsiaTheme="minorHAnsi" w:hAnsi="GHEA Grapalat" w:cstheme="minorBidi"/>
          <w:b/>
          <w:lang w:val="hy-AM"/>
        </w:rPr>
        <w:t xml:space="preserve"> </w:t>
      </w:r>
      <w:r w:rsidRPr="00CD75FC">
        <w:rPr>
          <w:rFonts w:ascii="GHEA Grapalat" w:eastAsiaTheme="minorHAnsi" w:hAnsi="GHEA Grapalat" w:cstheme="minorBidi"/>
          <w:b/>
          <w:lang w:val="hy-AM"/>
        </w:rPr>
        <w:t>ժամ</w:t>
      </w:r>
      <w:r w:rsidR="005E4788" w:rsidRPr="00CD75FC">
        <w:rPr>
          <w:rFonts w:ascii="GHEA Grapalat" w:eastAsiaTheme="minorHAnsi" w:hAnsi="GHEA Grapalat" w:cstheme="minorBidi"/>
          <w:b/>
          <w:lang w:val="hy-AM"/>
        </w:rPr>
        <w:t>կետ</w:t>
      </w:r>
      <w:r w:rsidRPr="00CD75FC">
        <w:rPr>
          <w:rFonts w:ascii="GHEA Grapalat" w:eastAsiaTheme="minorHAnsi" w:hAnsi="GHEA Grapalat" w:cstheme="minorBidi"/>
          <w:b/>
          <w:lang w:val="hy-AM"/>
        </w:rPr>
        <w:t>ով։</w:t>
      </w:r>
    </w:p>
    <w:p w14:paraId="3B37B28B" w14:textId="3152DA07" w:rsidR="00DA10E3"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CF5A8F">
        <w:rPr>
          <w:rFonts w:ascii="GHEA Grapalat" w:eastAsiaTheme="minorHAnsi" w:hAnsi="GHEA Grapalat" w:cstheme="minorBidi"/>
          <w:b/>
          <w:bCs/>
          <w:lang w:val="hy-AM"/>
        </w:rPr>
        <w:t>Փորձագետին ներկայացվող պահանջները</w:t>
      </w:r>
      <w:r w:rsidR="00CF5A8F">
        <w:rPr>
          <w:rFonts w:ascii="GHEA Grapalat" w:eastAsiaTheme="minorHAnsi" w:hAnsi="GHEA Grapalat" w:cstheme="minorBidi"/>
          <w:b/>
          <w:bCs/>
          <w:lang w:val="hy-AM"/>
        </w:rPr>
        <w:t>՝</w:t>
      </w:r>
    </w:p>
    <w:p w14:paraId="52830E7E" w14:textId="211D9EE9" w:rsidR="00CF5A8F" w:rsidRPr="00CF5A8F" w:rsidRDefault="00CF5A8F" w:rsidP="00DA10E3">
      <w:pPr>
        <w:pStyle w:val="NormalWeb"/>
        <w:shd w:val="clear" w:color="auto" w:fill="FFFFFF"/>
        <w:spacing w:before="0" w:beforeAutospacing="0" w:after="240" w:afterAutospacing="0"/>
        <w:jc w:val="both"/>
        <w:rPr>
          <w:rFonts w:ascii="GHEA Grapalat" w:eastAsiaTheme="minorHAnsi" w:hAnsi="GHEA Grapalat" w:cstheme="minorBidi"/>
          <w:lang w:val="hy-AM"/>
        </w:rPr>
      </w:pPr>
      <w:r>
        <w:rPr>
          <w:rFonts w:ascii="GHEA Grapalat" w:eastAsiaTheme="minorHAnsi" w:hAnsi="GHEA Grapalat" w:cstheme="minorBidi"/>
          <w:b/>
          <w:bCs/>
          <w:lang w:val="hy-AM"/>
        </w:rPr>
        <w:t>Բարձրագույն կրթություն՝</w:t>
      </w:r>
    </w:p>
    <w:tbl>
      <w:tblPr>
        <w:tblStyle w:val="TableGrid"/>
        <w:tblW w:w="9564" w:type="dxa"/>
        <w:tblLook w:val="04A0" w:firstRow="1" w:lastRow="0" w:firstColumn="1" w:lastColumn="0" w:noHBand="0" w:noVBand="1"/>
      </w:tblPr>
      <w:tblGrid>
        <w:gridCol w:w="458"/>
        <w:gridCol w:w="2145"/>
        <w:gridCol w:w="2448"/>
        <w:gridCol w:w="4513"/>
      </w:tblGrid>
      <w:tr w:rsidR="004A0832" w:rsidRPr="00337652" w14:paraId="18FBC99C" w14:textId="77777777" w:rsidTr="00311303">
        <w:trPr>
          <w:trHeight w:val="92"/>
        </w:trPr>
        <w:tc>
          <w:tcPr>
            <w:tcW w:w="458" w:type="dxa"/>
            <w:tcBorders>
              <w:top w:val="single" w:sz="4" w:space="0" w:color="auto"/>
              <w:left w:val="single" w:sz="4" w:space="0" w:color="auto"/>
              <w:bottom w:val="single" w:sz="4" w:space="0" w:color="auto"/>
              <w:right w:val="single" w:sz="4" w:space="0" w:color="auto"/>
            </w:tcBorders>
            <w:hideMark/>
          </w:tcPr>
          <w:p w14:paraId="325A0BF9" w14:textId="77777777" w:rsidR="004A0832" w:rsidRPr="00337652" w:rsidRDefault="004A0832" w:rsidP="00311303">
            <w:pPr>
              <w:pStyle w:val="NormalWeb"/>
              <w:spacing w:before="0" w:beforeAutospacing="0" w:after="0" w:afterAutospacing="0"/>
              <w:rPr>
                <w:rFonts w:ascii="GHEA Grapalat" w:hAnsi="GHEA Grapalat"/>
              </w:rPr>
            </w:pPr>
            <w:r w:rsidRPr="00337652">
              <w:rPr>
                <w:rFonts w:ascii="GHEA Grapalat" w:hAnsi="GHEA Grapalat"/>
              </w:rPr>
              <w:t>1.</w:t>
            </w:r>
          </w:p>
        </w:tc>
        <w:tc>
          <w:tcPr>
            <w:tcW w:w="2145" w:type="dxa"/>
            <w:tcBorders>
              <w:top w:val="single" w:sz="4" w:space="0" w:color="auto"/>
              <w:left w:val="single" w:sz="4" w:space="0" w:color="auto"/>
              <w:bottom w:val="single" w:sz="4" w:space="0" w:color="auto"/>
              <w:right w:val="single" w:sz="4" w:space="0" w:color="auto"/>
            </w:tcBorders>
            <w:hideMark/>
          </w:tcPr>
          <w:p w14:paraId="438A1178" w14:textId="77777777" w:rsidR="004A0832" w:rsidRPr="00337652" w:rsidRDefault="004A0832" w:rsidP="00311303">
            <w:pPr>
              <w:pStyle w:val="NormalWeb"/>
              <w:spacing w:before="0" w:beforeAutospacing="0" w:after="0" w:afterAutospacing="0"/>
              <w:rPr>
                <w:rFonts w:ascii="GHEA Grapalat" w:hAnsi="GHEA Grapalat"/>
              </w:rPr>
            </w:pPr>
            <w:r w:rsidRPr="00337652">
              <w:rPr>
                <w:rFonts w:ascii="GHEA Grapalat" w:hAnsi="GHEA Grapalat"/>
              </w:rPr>
              <w:t>Ուղղություն</w:t>
            </w:r>
          </w:p>
        </w:tc>
        <w:tc>
          <w:tcPr>
            <w:tcW w:w="2448" w:type="dxa"/>
            <w:tcBorders>
              <w:top w:val="single" w:sz="4" w:space="0" w:color="auto"/>
              <w:left w:val="single" w:sz="4" w:space="0" w:color="auto"/>
              <w:bottom w:val="single" w:sz="4" w:space="0" w:color="auto"/>
              <w:right w:val="single" w:sz="4" w:space="0" w:color="auto"/>
            </w:tcBorders>
            <w:hideMark/>
          </w:tcPr>
          <w:p w14:paraId="22CD0369" w14:textId="77777777" w:rsidR="004A0832" w:rsidRPr="00337652" w:rsidRDefault="004A0832" w:rsidP="00311303">
            <w:pPr>
              <w:pStyle w:val="NormalWeb"/>
              <w:spacing w:before="0" w:beforeAutospacing="0" w:after="0" w:afterAutospacing="0"/>
              <w:rPr>
                <w:rFonts w:ascii="GHEA Grapalat" w:hAnsi="GHEA Grapalat"/>
              </w:rPr>
            </w:pPr>
            <w:r w:rsidRPr="00337652">
              <w:rPr>
                <w:rFonts w:ascii="GHEA Grapalat" w:hAnsi="GHEA Grapalat"/>
              </w:rPr>
              <w:t>Ճարտարագիտու-թյուն, արդյունաբերություն և շինարարություն</w:t>
            </w:r>
          </w:p>
        </w:tc>
        <w:tc>
          <w:tcPr>
            <w:tcW w:w="4513" w:type="dxa"/>
            <w:tcBorders>
              <w:top w:val="single" w:sz="4" w:space="0" w:color="auto"/>
              <w:left w:val="single" w:sz="4" w:space="0" w:color="auto"/>
              <w:bottom w:val="single" w:sz="4" w:space="0" w:color="auto"/>
              <w:right w:val="single" w:sz="4" w:space="0" w:color="auto"/>
            </w:tcBorders>
          </w:tcPr>
          <w:p w14:paraId="2E088C51" w14:textId="77777777" w:rsidR="004A0832" w:rsidRPr="00337652" w:rsidRDefault="004A0832" w:rsidP="00311303">
            <w:pPr>
              <w:pStyle w:val="NormalWeb"/>
              <w:spacing w:before="0" w:beforeAutospacing="0" w:after="0" w:afterAutospacing="0"/>
              <w:jc w:val="center"/>
              <w:rPr>
                <w:rFonts w:ascii="GHEA Grapalat" w:hAnsi="GHEA Grapalat"/>
                <w:lang w:val="hy-AM"/>
              </w:rPr>
            </w:pPr>
            <w:r w:rsidRPr="00337652">
              <w:rPr>
                <w:rFonts w:ascii="GHEA Grapalat" w:hAnsi="GHEA Grapalat"/>
                <w:lang w:val="hy-AM"/>
              </w:rPr>
              <w:t>Գյուղատնտեսություն, անտառային տնտեսություն, ձկնային տնտեսություն և անասնաբուժություն</w:t>
            </w:r>
          </w:p>
        </w:tc>
      </w:tr>
      <w:tr w:rsidR="004A0832" w:rsidRPr="00337652" w14:paraId="46CD6983" w14:textId="77777777" w:rsidTr="00311303">
        <w:trPr>
          <w:trHeight w:val="92"/>
        </w:trPr>
        <w:tc>
          <w:tcPr>
            <w:tcW w:w="458" w:type="dxa"/>
            <w:tcBorders>
              <w:top w:val="single" w:sz="4" w:space="0" w:color="auto"/>
              <w:left w:val="single" w:sz="4" w:space="0" w:color="auto"/>
              <w:bottom w:val="single" w:sz="4" w:space="0" w:color="auto"/>
              <w:right w:val="single" w:sz="4" w:space="0" w:color="auto"/>
            </w:tcBorders>
            <w:hideMark/>
          </w:tcPr>
          <w:p w14:paraId="0E721268" w14:textId="77777777" w:rsidR="004A0832" w:rsidRPr="00337652" w:rsidRDefault="004A0832" w:rsidP="00311303">
            <w:pPr>
              <w:pStyle w:val="NormalWeb"/>
              <w:spacing w:before="0" w:beforeAutospacing="0" w:after="0" w:afterAutospacing="0"/>
              <w:rPr>
                <w:rFonts w:ascii="GHEA Grapalat" w:hAnsi="GHEA Grapalat"/>
                <w:lang w:val="hy-AM"/>
              </w:rPr>
            </w:pPr>
            <w:r w:rsidRPr="00337652">
              <w:rPr>
                <w:rFonts w:ascii="GHEA Grapalat" w:hAnsi="GHEA Grapalat"/>
                <w:lang w:val="hy-AM"/>
              </w:rPr>
              <w:t>2.</w:t>
            </w:r>
          </w:p>
        </w:tc>
        <w:tc>
          <w:tcPr>
            <w:tcW w:w="2145" w:type="dxa"/>
            <w:tcBorders>
              <w:top w:val="single" w:sz="4" w:space="0" w:color="auto"/>
              <w:left w:val="single" w:sz="4" w:space="0" w:color="auto"/>
              <w:bottom w:val="single" w:sz="4" w:space="0" w:color="auto"/>
              <w:right w:val="single" w:sz="4" w:space="0" w:color="auto"/>
            </w:tcBorders>
            <w:hideMark/>
          </w:tcPr>
          <w:p w14:paraId="4938E41E" w14:textId="77777777" w:rsidR="004A0832" w:rsidRPr="00337652" w:rsidRDefault="004A0832" w:rsidP="00311303">
            <w:pPr>
              <w:pStyle w:val="NormalWeb"/>
              <w:spacing w:before="0" w:beforeAutospacing="0" w:after="0" w:afterAutospacing="0"/>
              <w:rPr>
                <w:rFonts w:ascii="GHEA Grapalat" w:hAnsi="GHEA Grapalat"/>
                <w:lang w:val="hy-AM"/>
              </w:rPr>
            </w:pPr>
            <w:r w:rsidRPr="00337652">
              <w:rPr>
                <w:rFonts w:ascii="GHEA Grapalat" w:hAnsi="GHEA Grapalat"/>
                <w:lang w:val="hy-AM"/>
              </w:rPr>
              <w:t>Ոլորտ</w:t>
            </w:r>
          </w:p>
        </w:tc>
        <w:tc>
          <w:tcPr>
            <w:tcW w:w="2448" w:type="dxa"/>
            <w:tcBorders>
              <w:top w:val="single" w:sz="4" w:space="0" w:color="auto"/>
              <w:left w:val="single" w:sz="4" w:space="0" w:color="auto"/>
              <w:bottom w:val="single" w:sz="4" w:space="0" w:color="auto"/>
              <w:right w:val="single" w:sz="4" w:space="0" w:color="auto"/>
            </w:tcBorders>
            <w:hideMark/>
          </w:tcPr>
          <w:p w14:paraId="26941F8D" w14:textId="77777777" w:rsidR="004A0832" w:rsidRPr="00337652" w:rsidRDefault="004A0832" w:rsidP="00311303">
            <w:pPr>
              <w:pStyle w:val="NormalWeb"/>
              <w:spacing w:before="0" w:beforeAutospacing="0" w:after="0" w:afterAutospacing="0"/>
              <w:rPr>
                <w:rFonts w:ascii="GHEA Grapalat" w:hAnsi="GHEA Grapalat"/>
              </w:rPr>
            </w:pPr>
            <w:r w:rsidRPr="00337652">
              <w:rPr>
                <w:rFonts w:ascii="GHEA Grapalat" w:hAnsi="GHEA Grapalat"/>
              </w:rPr>
              <w:t>Արդյունաբերություն և տեխնոլոգիա</w:t>
            </w:r>
          </w:p>
        </w:tc>
        <w:tc>
          <w:tcPr>
            <w:tcW w:w="4513" w:type="dxa"/>
            <w:tcBorders>
              <w:top w:val="single" w:sz="4" w:space="0" w:color="auto"/>
              <w:left w:val="single" w:sz="4" w:space="0" w:color="auto"/>
              <w:bottom w:val="single" w:sz="4" w:space="0" w:color="auto"/>
              <w:right w:val="single" w:sz="4" w:space="0" w:color="auto"/>
            </w:tcBorders>
          </w:tcPr>
          <w:p w14:paraId="1B8B3719" w14:textId="77777777" w:rsidR="004A0832" w:rsidRPr="00337652" w:rsidRDefault="004A0832" w:rsidP="00311303">
            <w:pPr>
              <w:pStyle w:val="NormalWeb"/>
              <w:spacing w:before="0" w:beforeAutospacing="0" w:after="0" w:afterAutospacing="0"/>
              <w:jc w:val="center"/>
              <w:rPr>
                <w:rFonts w:ascii="GHEA Grapalat" w:hAnsi="GHEA Grapalat"/>
                <w:lang w:val="hy-AM"/>
              </w:rPr>
            </w:pPr>
          </w:p>
        </w:tc>
      </w:tr>
    </w:tbl>
    <w:p w14:paraId="51559F9B" w14:textId="77777777" w:rsidR="004A0832" w:rsidRPr="00337652" w:rsidRDefault="004A0832" w:rsidP="004A0832">
      <w:pPr>
        <w:pStyle w:val="NormalWeb"/>
        <w:spacing w:before="0" w:beforeAutospacing="0" w:after="0" w:afterAutospacing="0"/>
        <w:rPr>
          <w:rFonts w:ascii="GHEA Grapalat" w:hAnsi="GHEA Grapalat"/>
          <w:i/>
          <w:iCs/>
          <w:lang w:val="hy-AM"/>
        </w:rPr>
      </w:pPr>
      <w:r w:rsidRPr="00337652">
        <w:rPr>
          <w:rFonts w:ascii="GHEA Grapalat" w:hAnsi="GHEA Grapalat"/>
          <w:i/>
          <w:iCs/>
          <w:lang w:val="hy-AM"/>
        </w:rPr>
        <w:t xml:space="preserve">Կամ </w:t>
      </w:r>
    </w:p>
    <w:tbl>
      <w:tblPr>
        <w:tblStyle w:val="TableGrid"/>
        <w:tblW w:w="0" w:type="auto"/>
        <w:tblLook w:val="04A0" w:firstRow="1" w:lastRow="0" w:firstColumn="1" w:lastColumn="0" w:noHBand="0" w:noVBand="1"/>
      </w:tblPr>
      <w:tblGrid>
        <w:gridCol w:w="737"/>
        <w:gridCol w:w="2572"/>
        <w:gridCol w:w="6041"/>
      </w:tblGrid>
      <w:tr w:rsidR="004A0832" w:rsidRPr="00A72E94" w14:paraId="469F4972" w14:textId="77777777" w:rsidTr="00311303">
        <w:trPr>
          <w:trHeight w:val="89"/>
        </w:trPr>
        <w:tc>
          <w:tcPr>
            <w:tcW w:w="749" w:type="dxa"/>
            <w:tcBorders>
              <w:top w:val="single" w:sz="4" w:space="0" w:color="auto"/>
              <w:left w:val="single" w:sz="4" w:space="0" w:color="auto"/>
              <w:bottom w:val="single" w:sz="4" w:space="0" w:color="auto"/>
              <w:right w:val="single" w:sz="4" w:space="0" w:color="auto"/>
            </w:tcBorders>
            <w:hideMark/>
          </w:tcPr>
          <w:p w14:paraId="5CD8CF0E"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1.</w:t>
            </w:r>
          </w:p>
        </w:tc>
        <w:tc>
          <w:tcPr>
            <w:tcW w:w="2615" w:type="dxa"/>
            <w:tcBorders>
              <w:top w:val="single" w:sz="4" w:space="0" w:color="auto"/>
              <w:left w:val="single" w:sz="4" w:space="0" w:color="auto"/>
              <w:bottom w:val="single" w:sz="4" w:space="0" w:color="auto"/>
              <w:right w:val="single" w:sz="4" w:space="0" w:color="auto"/>
            </w:tcBorders>
            <w:hideMark/>
          </w:tcPr>
          <w:p w14:paraId="048C2C73"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Ուղղություն</w:t>
            </w:r>
          </w:p>
        </w:tc>
        <w:tc>
          <w:tcPr>
            <w:tcW w:w="6200" w:type="dxa"/>
            <w:tcBorders>
              <w:top w:val="single" w:sz="4" w:space="0" w:color="auto"/>
              <w:left w:val="single" w:sz="4" w:space="0" w:color="auto"/>
              <w:bottom w:val="single" w:sz="4" w:space="0" w:color="auto"/>
              <w:right w:val="single" w:sz="4" w:space="0" w:color="auto"/>
            </w:tcBorders>
            <w:hideMark/>
          </w:tcPr>
          <w:p w14:paraId="1091DB85"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Սոցիալական գիտություններ, լրագրություն և տեղեկատվական գիտություններ</w:t>
            </w:r>
          </w:p>
        </w:tc>
      </w:tr>
      <w:tr w:rsidR="004A0832" w:rsidRPr="00337652" w14:paraId="608199D4" w14:textId="77777777" w:rsidTr="00311303">
        <w:trPr>
          <w:trHeight w:val="344"/>
        </w:trPr>
        <w:tc>
          <w:tcPr>
            <w:tcW w:w="749" w:type="dxa"/>
            <w:tcBorders>
              <w:top w:val="single" w:sz="4" w:space="0" w:color="auto"/>
              <w:left w:val="single" w:sz="4" w:space="0" w:color="auto"/>
              <w:bottom w:val="single" w:sz="4" w:space="0" w:color="auto"/>
              <w:right w:val="single" w:sz="4" w:space="0" w:color="auto"/>
            </w:tcBorders>
            <w:hideMark/>
          </w:tcPr>
          <w:p w14:paraId="67D162DE"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2.</w:t>
            </w:r>
          </w:p>
        </w:tc>
        <w:tc>
          <w:tcPr>
            <w:tcW w:w="2615" w:type="dxa"/>
            <w:tcBorders>
              <w:top w:val="single" w:sz="4" w:space="0" w:color="auto"/>
              <w:left w:val="single" w:sz="4" w:space="0" w:color="auto"/>
              <w:bottom w:val="single" w:sz="4" w:space="0" w:color="auto"/>
              <w:right w:val="single" w:sz="4" w:space="0" w:color="auto"/>
            </w:tcBorders>
            <w:hideMark/>
          </w:tcPr>
          <w:p w14:paraId="66CAD149"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Ոլորտ</w:t>
            </w:r>
          </w:p>
        </w:tc>
        <w:tc>
          <w:tcPr>
            <w:tcW w:w="6200" w:type="dxa"/>
            <w:tcBorders>
              <w:top w:val="single" w:sz="4" w:space="0" w:color="auto"/>
              <w:left w:val="single" w:sz="4" w:space="0" w:color="auto"/>
              <w:bottom w:val="single" w:sz="4" w:space="0" w:color="auto"/>
              <w:right w:val="single" w:sz="4" w:space="0" w:color="auto"/>
            </w:tcBorders>
            <w:hideMark/>
          </w:tcPr>
          <w:p w14:paraId="0DCBDA47"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Սոցիալական և վարքաբանական գիտություններ</w:t>
            </w:r>
          </w:p>
        </w:tc>
      </w:tr>
    </w:tbl>
    <w:p w14:paraId="66F73128" w14:textId="77777777" w:rsidR="004A0832" w:rsidRPr="00337652" w:rsidRDefault="004A0832" w:rsidP="004A0832">
      <w:pPr>
        <w:pStyle w:val="NormalWeb"/>
        <w:spacing w:before="0" w:beforeAutospacing="0" w:after="0" w:afterAutospacing="0"/>
        <w:rPr>
          <w:rFonts w:ascii="GHEA Grapalat" w:hAnsi="GHEA Grapalat"/>
          <w:i/>
          <w:iCs/>
          <w:lang w:val="hy-AM"/>
        </w:rPr>
      </w:pPr>
      <w:r w:rsidRPr="00337652">
        <w:rPr>
          <w:rFonts w:ascii="GHEA Grapalat" w:hAnsi="GHEA Grapalat"/>
          <w:i/>
          <w:iCs/>
          <w:lang w:val="hy-AM"/>
        </w:rPr>
        <w:t xml:space="preserve">Կամ </w:t>
      </w:r>
    </w:p>
    <w:tbl>
      <w:tblPr>
        <w:tblStyle w:val="TableGrid"/>
        <w:tblW w:w="0" w:type="auto"/>
        <w:tblLook w:val="04A0" w:firstRow="1" w:lastRow="0" w:firstColumn="1" w:lastColumn="0" w:noHBand="0" w:noVBand="1"/>
      </w:tblPr>
      <w:tblGrid>
        <w:gridCol w:w="522"/>
        <w:gridCol w:w="2169"/>
        <w:gridCol w:w="3173"/>
        <w:gridCol w:w="2449"/>
        <w:gridCol w:w="1037"/>
      </w:tblGrid>
      <w:tr w:rsidR="004A0832" w:rsidRPr="00A72E94" w14:paraId="28447835" w14:textId="77777777" w:rsidTr="00311303">
        <w:trPr>
          <w:trHeight w:val="89"/>
        </w:trPr>
        <w:tc>
          <w:tcPr>
            <w:tcW w:w="528" w:type="dxa"/>
            <w:tcBorders>
              <w:top w:val="single" w:sz="4" w:space="0" w:color="auto"/>
              <w:left w:val="single" w:sz="4" w:space="0" w:color="auto"/>
              <w:bottom w:val="single" w:sz="4" w:space="0" w:color="auto"/>
              <w:right w:val="single" w:sz="4" w:space="0" w:color="auto"/>
            </w:tcBorders>
            <w:hideMark/>
          </w:tcPr>
          <w:p w14:paraId="3425AEE3"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1.</w:t>
            </w:r>
          </w:p>
        </w:tc>
        <w:tc>
          <w:tcPr>
            <w:tcW w:w="2217" w:type="dxa"/>
            <w:tcBorders>
              <w:top w:val="single" w:sz="4" w:space="0" w:color="auto"/>
              <w:left w:val="single" w:sz="4" w:space="0" w:color="auto"/>
              <w:bottom w:val="single" w:sz="4" w:space="0" w:color="auto"/>
              <w:right w:val="single" w:sz="4" w:space="0" w:color="auto"/>
            </w:tcBorders>
            <w:hideMark/>
          </w:tcPr>
          <w:p w14:paraId="24B30EC3"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Ուղղություն</w:t>
            </w:r>
          </w:p>
        </w:tc>
        <w:tc>
          <w:tcPr>
            <w:tcW w:w="6819" w:type="dxa"/>
            <w:gridSpan w:val="3"/>
            <w:tcBorders>
              <w:top w:val="single" w:sz="4" w:space="0" w:color="auto"/>
              <w:left w:val="single" w:sz="4" w:space="0" w:color="auto"/>
              <w:bottom w:val="single" w:sz="4" w:space="0" w:color="auto"/>
              <w:right w:val="single" w:sz="4" w:space="0" w:color="auto"/>
            </w:tcBorders>
            <w:hideMark/>
          </w:tcPr>
          <w:p w14:paraId="044A0F95" w14:textId="77777777" w:rsidR="004A0832" w:rsidRPr="00337652" w:rsidRDefault="004A0832" w:rsidP="00311303">
            <w:pPr>
              <w:pStyle w:val="NormalWeb"/>
              <w:ind w:firstLine="38"/>
              <w:jc w:val="center"/>
              <w:rPr>
                <w:rFonts w:ascii="GHEA Grapalat" w:hAnsi="GHEA Grapalat"/>
                <w:iCs/>
                <w:lang w:val="hy-AM"/>
              </w:rPr>
            </w:pPr>
            <w:r w:rsidRPr="00337652">
              <w:rPr>
                <w:rFonts w:ascii="GHEA Grapalat" w:hAnsi="GHEA Grapalat"/>
                <w:iCs/>
                <w:lang w:val="hy-AM"/>
              </w:rPr>
              <w:t>Բնական գիտություններ, մաթեմատիկա և վիճակագրություն</w:t>
            </w:r>
          </w:p>
        </w:tc>
      </w:tr>
      <w:tr w:rsidR="004A0832" w:rsidRPr="00337652" w14:paraId="120FEC71" w14:textId="77777777" w:rsidTr="00311303">
        <w:trPr>
          <w:trHeight w:val="344"/>
        </w:trPr>
        <w:tc>
          <w:tcPr>
            <w:tcW w:w="528" w:type="dxa"/>
            <w:tcBorders>
              <w:top w:val="single" w:sz="4" w:space="0" w:color="auto"/>
              <w:left w:val="single" w:sz="4" w:space="0" w:color="auto"/>
              <w:bottom w:val="single" w:sz="4" w:space="0" w:color="auto"/>
              <w:right w:val="single" w:sz="4" w:space="0" w:color="auto"/>
            </w:tcBorders>
            <w:hideMark/>
          </w:tcPr>
          <w:p w14:paraId="65C4621E"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2.</w:t>
            </w:r>
          </w:p>
        </w:tc>
        <w:tc>
          <w:tcPr>
            <w:tcW w:w="2217" w:type="dxa"/>
            <w:tcBorders>
              <w:top w:val="single" w:sz="4" w:space="0" w:color="auto"/>
              <w:left w:val="single" w:sz="4" w:space="0" w:color="auto"/>
              <w:bottom w:val="single" w:sz="4" w:space="0" w:color="auto"/>
              <w:right w:val="single" w:sz="4" w:space="0" w:color="auto"/>
            </w:tcBorders>
            <w:hideMark/>
          </w:tcPr>
          <w:p w14:paraId="39F50313"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Ոլորտ</w:t>
            </w:r>
          </w:p>
        </w:tc>
        <w:tc>
          <w:tcPr>
            <w:tcW w:w="3249" w:type="dxa"/>
            <w:tcBorders>
              <w:top w:val="single" w:sz="4" w:space="0" w:color="auto"/>
              <w:left w:val="single" w:sz="4" w:space="0" w:color="auto"/>
              <w:bottom w:val="single" w:sz="4" w:space="0" w:color="auto"/>
              <w:right w:val="single" w:sz="4" w:space="0" w:color="auto"/>
            </w:tcBorders>
            <w:hideMark/>
          </w:tcPr>
          <w:p w14:paraId="0783B225" w14:textId="77777777" w:rsidR="004A0832" w:rsidRPr="00337652" w:rsidRDefault="004A0832" w:rsidP="00311303">
            <w:pPr>
              <w:pStyle w:val="NormalWeb"/>
              <w:ind w:firstLine="38"/>
              <w:jc w:val="center"/>
              <w:rPr>
                <w:rFonts w:ascii="GHEA Grapalat" w:hAnsi="GHEA Grapalat"/>
                <w:iCs/>
                <w:lang w:val="hy-AM"/>
              </w:rPr>
            </w:pPr>
            <w:r w:rsidRPr="00337652">
              <w:rPr>
                <w:rFonts w:ascii="GHEA Grapalat" w:hAnsi="GHEA Grapalat"/>
                <w:iCs/>
                <w:lang w:val="hy-AM"/>
              </w:rPr>
              <w:t>Կենսաբանական գիտություններ</w:t>
            </w:r>
          </w:p>
        </w:tc>
        <w:tc>
          <w:tcPr>
            <w:tcW w:w="2533" w:type="dxa"/>
            <w:tcBorders>
              <w:top w:val="single" w:sz="4" w:space="0" w:color="auto"/>
              <w:left w:val="single" w:sz="4" w:space="0" w:color="auto"/>
              <w:bottom w:val="single" w:sz="4" w:space="0" w:color="auto"/>
              <w:right w:val="single" w:sz="4" w:space="0" w:color="auto"/>
            </w:tcBorders>
          </w:tcPr>
          <w:p w14:paraId="6255D86E"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Շրջակա միջավայր</w:t>
            </w:r>
          </w:p>
        </w:tc>
        <w:tc>
          <w:tcPr>
            <w:tcW w:w="1037" w:type="dxa"/>
            <w:tcBorders>
              <w:top w:val="single" w:sz="4" w:space="0" w:color="auto"/>
              <w:left w:val="single" w:sz="4" w:space="0" w:color="auto"/>
              <w:bottom w:val="single" w:sz="4" w:space="0" w:color="auto"/>
              <w:right w:val="single" w:sz="4" w:space="0" w:color="auto"/>
            </w:tcBorders>
          </w:tcPr>
          <w:p w14:paraId="125CED7F"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Քիմիա</w:t>
            </w:r>
          </w:p>
        </w:tc>
      </w:tr>
    </w:tbl>
    <w:p w14:paraId="07EE7396" w14:textId="77777777" w:rsidR="004A0832" w:rsidRPr="00337652" w:rsidRDefault="004A0832" w:rsidP="004A0832">
      <w:pPr>
        <w:pStyle w:val="NormalWeb"/>
        <w:spacing w:before="0" w:beforeAutospacing="0" w:after="0" w:afterAutospacing="0"/>
        <w:rPr>
          <w:rFonts w:ascii="GHEA Grapalat" w:hAnsi="GHEA Grapalat"/>
          <w:i/>
          <w:iCs/>
          <w:lang w:val="hy-AM"/>
        </w:rPr>
      </w:pPr>
      <w:r w:rsidRPr="00337652">
        <w:rPr>
          <w:rFonts w:ascii="GHEA Grapalat" w:hAnsi="GHEA Grapalat"/>
          <w:i/>
          <w:iCs/>
          <w:lang w:val="hy-AM"/>
        </w:rPr>
        <w:t xml:space="preserve">Կամ </w:t>
      </w:r>
    </w:p>
    <w:tbl>
      <w:tblPr>
        <w:tblStyle w:val="TableGrid"/>
        <w:tblW w:w="0" w:type="auto"/>
        <w:tblLook w:val="04A0" w:firstRow="1" w:lastRow="0" w:firstColumn="1" w:lastColumn="0" w:noHBand="0" w:noVBand="1"/>
      </w:tblPr>
      <w:tblGrid>
        <w:gridCol w:w="735"/>
        <w:gridCol w:w="2568"/>
        <w:gridCol w:w="6047"/>
      </w:tblGrid>
      <w:tr w:rsidR="004A0832" w:rsidRPr="00337652" w14:paraId="04E4329B" w14:textId="77777777" w:rsidTr="00311303">
        <w:trPr>
          <w:trHeight w:val="89"/>
        </w:trPr>
        <w:tc>
          <w:tcPr>
            <w:tcW w:w="747" w:type="dxa"/>
            <w:tcBorders>
              <w:top w:val="single" w:sz="4" w:space="0" w:color="auto"/>
              <w:left w:val="single" w:sz="4" w:space="0" w:color="auto"/>
              <w:bottom w:val="single" w:sz="4" w:space="0" w:color="auto"/>
              <w:right w:val="single" w:sz="4" w:space="0" w:color="auto"/>
            </w:tcBorders>
            <w:hideMark/>
          </w:tcPr>
          <w:p w14:paraId="61D4EE5F"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lastRenderedPageBreak/>
              <w:t>1.</w:t>
            </w:r>
          </w:p>
        </w:tc>
        <w:tc>
          <w:tcPr>
            <w:tcW w:w="2614" w:type="dxa"/>
            <w:tcBorders>
              <w:top w:val="single" w:sz="4" w:space="0" w:color="auto"/>
              <w:left w:val="single" w:sz="4" w:space="0" w:color="auto"/>
              <w:bottom w:val="single" w:sz="4" w:space="0" w:color="auto"/>
              <w:right w:val="single" w:sz="4" w:space="0" w:color="auto"/>
            </w:tcBorders>
            <w:hideMark/>
          </w:tcPr>
          <w:p w14:paraId="40C9AB26"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Ուղղություն</w:t>
            </w:r>
          </w:p>
        </w:tc>
        <w:tc>
          <w:tcPr>
            <w:tcW w:w="6203" w:type="dxa"/>
            <w:tcBorders>
              <w:top w:val="single" w:sz="4" w:space="0" w:color="auto"/>
              <w:left w:val="single" w:sz="4" w:space="0" w:color="auto"/>
              <w:bottom w:val="single" w:sz="4" w:space="0" w:color="auto"/>
              <w:right w:val="single" w:sz="4" w:space="0" w:color="auto"/>
            </w:tcBorders>
            <w:hideMark/>
          </w:tcPr>
          <w:p w14:paraId="13B79538"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 xml:space="preserve">Առողջապահություն և սոցիալական աշխատանք </w:t>
            </w:r>
          </w:p>
        </w:tc>
      </w:tr>
      <w:tr w:rsidR="004A0832" w:rsidRPr="00337652" w14:paraId="7E9D5C83" w14:textId="77777777" w:rsidTr="00311303">
        <w:trPr>
          <w:trHeight w:val="344"/>
        </w:trPr>
        <w:tc>
          <w:tcPr>
            <w:tcW w:w="747" w:type="dxa"/>
            <w:tcBorders>
              <w:top w:val="single" w:sz="4" w:space="0" w:color="auto"/>
              <w:left w:val="single" w:sz="4" w:space="0" w:color="auto"/>
              <w:bottom w:val="single" w:sz="4" w:space="0" w:color="auto"/>
              <w:right w:val="single" w:sz="4" w:space="0" w:color="auto"/>
            </w:tcBorders>
            <w:hideMark/>
          </w:tcPr>
          <w:p w14:paraId="41760CB2"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2.</w:t>
            </w:r>
          </w:p>
        </w:tc>
        <w:tc>
          <w:tcPr>
            <w:tcW w:w="2614" w:type="dxa"/>
            <w:tcBorders>
              <w:top w:val="single" w:sz="4" w:space="0" w:color="auto"/>
              <w:left w:val="single" w:sz="4" w:space="0" w:color="auto"/>
              <w:bottom w:val="single" w:sz="4" w:space="0" w:color="auto"/>
              <w:right w:val="single" w:sz="4" w:space="0" w:color="auto"/>
            </w:tcBorders>
            <w:hideMark/>
          </w:tcPr>
          <w:p w14:paraId="68D1DED4"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Ոլորտ</w:t>
            </w:r>
          </w:p>
        </w:tc>
        <w:tc>
          <w:tcPr>
            <w:tcW w:w="6203" w:type="dxa"/>
            <w:tcBorders>
              <w:top w:val="single" w:sz="4" w:space="0" w:color="auto"/>
              <w:left w:val="single" w:sz="4" w:space="0" w:color="auto"/>
              <w:bottom w:val="single" w:sz="4" w:space="0" w:color="auto"/>
              <w:right w:val="single" w:sz="4" w:space="0" w:color="auto"/>
            </w:tcBorders>
            <w:hideMark/>
          </w:tcPr>
          <w:p w14:paraId="565E66DF"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 xml:space="preserve">Առողջապահություն </w:t>
            </w:r>
          </w:p>
        </w:tc>
      </w:tr>
      <w:tr w:rsidR="004A0832" w:rsidRPr="00337652" w14:paraId="48B07909" w14:textId="77777777" w:rsidTr="00311303">
        <w:trPr>
          <w:trHeight w:val="364"/>
        </w:trPr>
        <w:tc>
          <w:tcPr>
            <w:tcW w:w="747" w:type="dxa"/>
            <w:tcBorders>
              <w:top w:val="single" w:sz="4" w:space="0" w:color="auto"/>
              <w:left w:val="single" w:sz="4" w:space="0" w:color="auto"/>
              <w:bottom w:val="single" w:sz="4" w:space="0" w:color="auto"/>
              <w:right w:val="single" w:sz="4" w:space="0" w:color="auto"/>
            </w:tcBorders>
            <w:hideMark/>
          </w:tcPr>
          <w:p w14:paraId="75F3162E"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3.</w:t>
            </w:r>
          </w:p>
        </w:tc>
        <w:tc>
          <w:tcPr>
            <w:tcW w:w="2614" w:type="dxa"/>
            <w:tcBorders>
              <w:top w:val="single" w:sz="4" w:space="0" w:color="auto"/>
              <w:left w:val="single" w:sz="4" w:space="0" w:color="auto"/>
              <w:bottom w:val="single" w:sz="4" w:space="0" w:color="auto"/>
              <w:right w:val="single" w:sz="4" w:space="0" w:color="auto"/>
            </w:tcBorders>
            <w:hideMark/>
          </w:tcPr>
          <w:p w14:paraId="09A6E803"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Ենթաոլորտ</w:t>
            </w:r>
          </w:p>
        </w:tc>
        <w:tc>
          <w:tcPr>
            <w:tcW w:w="6203" w:type="dxa"/>
            <w:tcBorders>
              <w:top w:val="single" w:sz="4" w:space="0" w:color="auto"/>
              <w:left w:val="single" w:sz="4" w:space="0" w:color="auto"/>
              <w:bottom w:val="single" w:sz="4" w:space="0" w:color="auto"/>
              <w:right w:val="single" w:sz="4" w:space="0" w:color="auto"/>
            </w:tcBorders>
            <w:hideMark/>
          </w:tcPr>
          <w:p w14:paraId="631F73F5" w14:textId="77777777" w:rsidR="004A0832" w:rsidRPr="00337652" w:rsidRDefault="004A0832" w:rsidP="00311303">
            <w:pPr>
              <w:pStyle w:val="NormalWeb"/>
              <w:ind w:firstLine="38"/>
              <w:rPr>
                <w:rFonts w:ascii="GHEA Grapalat" w:hAnsi="GHEA Grapalat"/>
                <w:iCs/>
                <w:lang w:val="hy-AM"/>
              </w:rPr>
            </w:pPr>
            <w:r w:rsidRPr="00337652">
              <w:rPr>
                <w:rFonts w:ascii="GHEA Grapalat" w:hAnsi="GHEA Grapalat"/>
                <w:iCs/>
                <w:lang w:val="hy-AM"/>
              </w:rPr>
              <w:t>Միջոլորտային մասնագիտություններ</w:t>
            </w:r>
          </w:p>
        </w:tc>
      </w:tr>
    </w:tbl>
    <w:p w14:paraId="62C95CAE" w14:textId="05BA210F" w:rsidR="00DA10E3" w:rsidRDefault="00DA10E3" w:rsidP="00CF5A8F">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p>
    <w:p w14:paraId="274B510B" w14:textId="106DBB54" w:rsidR="00ED5B2F" w:rsidRPr="00CF5A8F" w:rsidRDefault="007C6EA6"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0AF89E83" w14:textId="77777777" w:rsidR="004A0832" w:rsidRPr="004A0832" w:rsidRDefault="004A0832" w:rsidP="00CD75FC">
      <w:pPr>
        <w:pStyle w:val="ListParagraph"/>
        <w:numPr>
          <w:ilvl w:val="0"/>
          <w:numId w:val="6"/>
        </w:numPr>
        <w:spacing w:after="0" w:line="360" w:lineRule="auto"/>
        <w:ind w:left="90" w:firstLine="0"/>
        <w:jc w:val="both"/>
        <w:rPr>
          <w:rFonts w:ascii="GHEA Grapalat" w:hAnsi="GHEA Grapalat"/>
          <w:sz w:val="24"/>
          <w:szCs w:val="24"/>
          <w:lang w:val="hy-AM"/>
        </w:rPr>
      </w:pPr>
      <w:r w:rsidRPr="00337652">
        <w:rPr>
          <w:rFonts w:ascii="GHEA Grapalat" w:eastAsia="Times New Roman" w:hAnsi="GHEA Grapalat"/>
          <w:iCs/>
          <w:sz w:val="24"/>
          <w:szCs w:val="24"/>
          <w:lang w:val="hy-AM"/>
        </w:rPr>
        <w:t xml:space="preserve">հանրային ծառայության առնվազն երկու տարվա ստաժ կամ երեք տարվա մասնագիտական աշխատանքային ստաժ կամ կենսաբանական գիտությունների կամ բնական գիտությունների կամ գյուղատնտեսության կամ առողջապահության </w:t>
      </w:r>
      <w:r w:rsidRPr="00BA53E1">
        <w:rPr>
          <w:rFonts w:ascii="GHEA Grapalat" w:eastAsia="Times New Roman" w:hAnsi="GHEA Grapalat"/>
          <w:iCs/>
          <w:color w:val="000000" w:themeColor="text1"/>
          <w:sz w:val="24"/>
          <w:szCs w:val="24"/>
          <w:lang w:val="hy-AM"/>
        </w:rPr>
        <w:t>բնագավառում` երեք տարվա աշխատանքային ստաժ</w:t>
      </w:r>
      <w:r w:rsidRPr="00BA53E1">
        <w:rPr>
          <w:rFonts w:ascii="GHEA Grapalat" w:hAnsi="GHEA Grapalat" w:cs="Sylfaen"/>
          <w:color w:val="000000" w:themeColor="text1"/>
          <w:sz w:val="24"/>
          <w:szCs w:val="24"/>
          <w:lang w:val="hy-AM"/>
        </w:rPr>
        <w:t>.</w:t>
      </w:r>
    </w:p>
    <w:p w14:paraId="1DF7D81B" w14:textId="4901AAEB" w:rsidR="002A6B64" w:rsidRPr="004A0832" w:rsidRDefault="004A0832" w:rsidP="00CD75FC">
      <w:pPr>
        <w:pStyle w:val="ListParagraph"/>
        <w:numPr>
          <w:ilvl w:val="0"/>
          <w:numId w:val="6"/>
        </w:numPr>
        <w:shd w:val="clear" w:color="auto" w:fill="FFFFFF"/>
        <w:spacing w:after="0" w:line="360" w:lineRule="auto"/>
        <w:ind w:left="90" w:firstLine="0"/>
        <w:jc w:val="both"/>
        <w:rPr>
          <w:iCs/>
          <w:color w:val="000000" w:themeColor="text1"/>
          <w:sz w:val="24"/>
          <w:szCs w:val="24"/>
          <w:lang w:val="hy-AM"/>
        </w:rPr>
      </w:pPr>
      <w:r w:rsidRPr="004A0832">
        <w:rPr>
          <w:rFonts w:ascii="GHEA Grapalat" w:eastAsia="Times New Roman" w:hAnsi="GHEA Grapalat"/>
          <w:iCs/>
          <w:sz w:val="24"/>
          <w:szCs w:val="24"/>
          <w:lang w:val="hy-AM"/>
        </w:rPr>
        <w:t>Հայաստանի Հանրապետության Սահմանադրություն, «Քաղաքացիական ծառայության մասին», «Սննդամթերքի անվտանգության</w:t>
      </w:r>
      <w:r>
        <w:rPr>
          <w:rFonts w:ascii="GHEA Grapalat" w:eastAsia="Times New Roman" w:hAnsi="GHEA Grapalat"/>
          <w:iCs/>
          <w:sz w:val="24"/>
          <w:szCs w:val="24"/>
          <w:lang w:val="hy-AM"/>
        </w:rPr>
        <w:t xml:space="preserve"> պետական վերահսկողության մասին»</w:t>
      </w:r>
      <w:r w:rsidRPr="004A0832">
        <w:rPr>
          <w:rFonts w:ascii="GHEA Grapalat" w:eastAsia="Times New Roman" w:hAnsi="GHEA Grapalat"/>
          <w:iCs/>
          <w:sz w:val="24"/>
          <w:szCs w:val="24"/>
          <w:lang w:val="hy-AM"/>
        </w:rPr>
        <w:t>, «</w:t>
      </w:r>
      <w:r w:rsidRPr="00EE70C3">
        <w:rPr>
          <w:rFonts w:ascii="GHEA Grapalat" w:eastAsia="Times New Roman" w:hAnsi="GHEA Grapalat"/>
          <w:iCs/>
          <w:color w:val="000000" w:themeColor="text1"/>
          <w:sz w:val="24"/>
          <w:szCs w:val="24"/>
          <w:lang w:val="hy-AM"/>
        </w:rPr>
        <w:t>Հայաստանի Հանրապետությունում ստուգումների կազմակերպման և անցկացման մասին», «Կառավարության կառուցվածքի և գործունեության մասին» ՀՀ օրենքների, Հայաստանի Հանրապետության վա</w:t>
      </w:r>
      <w:r w:rsidR="00EE70C3">
        <w:rPr>
          <w:rFonts w:ascii="GHEA Grapalat" w:eastAsia="Times New Roman" w:hAnsi="GHEA Grapalat"/>
          <w:iCs/>
          <w:color w:val="000000" w:themeColor="text1"/>
          <w:sz w:val="24"/>
          <w:szCs w:val="24"/>
          <w:lang w:val="hy-AM"/>
        </w:rPr>
        <w:t xml:space="preserve">րչապետի 2019 թվականի դեկտեմբերի </w:t>
      </w:r>
      <w:r w:rsidRPr="00EE70C3">
        <w:rPr>
          <w:rFonts w:ascii="GHEA Grapalat" w:eastAsia="Times New Roman" w:hAnsi="GHEA Grapalat"/>
          <w:iCs/>
          <w:color w:val="000000" w:themeColor="text1"/>
          <w:sz w:val="24"/>
          <w:szCs w:val="24"/>
          <w:lang w:val="hy-AM"/>
        </w:rPr>
        <w:t xml:space="preserve">19-ի </w:t>
      </w:r>
      <w:r w:rsidRPr="00EE70C3">
        <w:rPr>
          <w:rFonts w:eastAsia="Times New Roman" w:cs="Calibri"/>
          <w:iCs/>
          <w:color w:val="000000" w:themeColor="text1"/>
          <w:sz w:val="24"/>
          <w:szCs w:val="24"/>
          <w:lang w:val="hy-AM"/>
        </w:rPr>
        <w:t> </w:t>
      </w:r>
      <w:r w:rsidRPr="00EE70C3">
        <w:rPr>
          <w:rFonts w:ascii="GHEA Grapalat" w:eastAsia="Times New Roman" w:hAnsi="GHEA Grapalat"/>
          <w:iCs/>
          <w:color w:val="000000" w:themeColor="text1"/>
          <w:sz w:val="24"/>
          <w:szCs w:val="24"/>
          <w:lang w:val="hy-AM"/>
        </w:rPr>
        <w:t>«Հայաստանի Հանրապետության սննդամթերքի անվտանգության տեսչական մարմնի կանոնադրությունը հաստատելու մասին» N 1940-Լ</w:t>
      </w:r>
      <w:r w:rsidR="00EE70C3" w:rsidRPr="00EE70C3">
        <w:rPr>
          <w:rFonts w:ascii="GHEA Grapalat" w:eastAsia="Times New Roman" w:hAnsi="GHEA Grapalat"/>
          <w:iCs/>
          <w:color w:val="000000" w:themeColor="text1"/>
          <w:sz w:val="24"/>
          <w:szCs w:val="24"/>
          <w:lang w:val="hy-AM"/>
        </w:rPr>
        <w:t xml:space="preserve">, Հայաստանի Հանրապետության կառավարության 2019 թվականի նոյեմբերի 28-ի </w:t>
      </w:r>
      <w:r w:rsidR="00EE70C3" w:rsidRPr="00EE70C3">
        <w:rPr>
          <w:rFonts w:eastAsia="Times New Roman" w:cs="Calibri"/>
          <w:iCs/>
          <w:color w:val="000000" w:themeColor="text1"/>
          <w:sz w:val="24"/>
          <w:szCs w:val="24"/>
          <w:lang w:val="hy-AM"/>
        </w:rPr>
        <w:t> </w:t>
      </w:r>
      <w:r w:rsidR="00EE70C3" w:rsidRPr="00EE70C3">
        <w:rPr>
          <w:rFonts w:ascii="GHEA Grapalat" w:eastAsia="Times New Roman" w:hAnsi="GHEA Grapalat"/>
          <w:iCs/>
          <w:color w:val="000000" w:themeColor="text1"/>
          <w:sz w:val="24"/>
          <w:szCs w:val="24"/>
          <w:lang w:val="hy-AM"/>
        </w:rPr>
        <w:t>«Հայաստանի Հանրապետության սննդամթերքի անվտանգության տեսչական մարմնի կողմից իրականացվող՝ սննդամթերքի անվտանգության, անասնաբուժության եվ բուսասանիտարիայի բնագավառներում իրականացվող ռիսկի վրա հիմնված</w:t>
      </w:r>
      <w:r w:rsidR="00EE70C3" w:rsidRPr="00EE70C3">
        <w:rPr>
          <w:rFonts w:eastAsia="Times New Roman" w:cs="Calibri"/>
          <w:iCs/>
          <w:color w:val="000000" w:themeColor="text1"/>
          <w:sz w:val="24"/>
          <w:szCs w:val="24"/>
          <w:lang w:val="hy-AM"/>
        </w:rPr>
        <w:t> </w:t>
      </w:r>
      <w:r w:rsidR="00EE70C3" w:rsidRPr="00EE70C3">
        <w:rPr>
          <w:rFonts w:ascii="GHEA Grapalat" w:eastAsia="Times New Roman" w:hAnsi="GHEA Grapalat"/>
          <w:iCs/>
          <w:color w:val="000000" w:themeColor="text1"/>
          <w:sz w:val="24"/>
          <w:szCs w:val="24"/>
          <w:lang w:val="hy-AM"/>
        </w:rPr>
        <w:t>ստուգումների</w:t>
      </w:r>
      <w:r w:rsidR="00EE70C3" w:rsidRPr="00EE70C3">
        <w:rPr>
          <w:rFonts w:eastAsia="Times New Roman" w:cs="Calibri"/>
          <w:iCs/>
          <w:color w:val="000000" w:themeColor="text1"/>
          <w:sz w:val="24"/>
          <w:szCs w:val="24"/>
          <w:lang w:val="hy-AM"/>
        </w:rPr>
        <w:t> </w:t>
      </w:r>
      <w:r w:rsidR="00EE70C3" w:rsidRPr="00EE70C3">
        <w:rPr>
          <w:rFonts w:ascii="GHEA Grapalat" w:eastAsia="Times New Roman" w:hAnsi="GHEA Grapalat"/>
          <w:iCs/>
          <w:color w:val="000000" w:themeColor="text1"/>
          <w:sz w:val="24"/>
          <w:szCs w:val="24"/>
          <w:lang w:val="hy-AM"/>
        </w:rPr>
        <w:t xml:space="preserve">մեթոդաբանությունը եվ ռիսկայնությունը որոշող չափանիշների ընդհանուր նկարագիրը հաստատելու և Հայաստանի Հանրապետության կառավարության 2012 թվականի դեկտեմբերի 27-ի N 1679-Ն որոշումն ուժը կորցրած ճանաչելու մասին» N 1687-Ն, Հայաստանի Հանրապետության կառավարության 2013 թվականի փետրվարի 21-ի </w:t>
      </w:r>
      <w:r w:rsidR="00EE70C3" w:rsidRPr="00EE70C3">
        <w:rPr>
          <w:rFonts w:eastAsia="Times New Roman" w:cs="Calibri"/>
          <w:iCs/>
          <w:color w:val="000000" w:themeColor="text1"/>
          <w:sz w:val="24"/>
          <w:szCs w:val="24"/>
          <w:lang w:val="hy-AM"/>
        </w:rPr>
        <w:t> </w:t>
      </w:r>
      <w:r w:rsidR="00EE70C3" w:rsidRPr="00EE70C3">
        <w:rPr>
          <w:rFonts w:ascii="GHEA Grapalat" w:eastAsia="Times New Roman" w:hAnsi="GHEA Grapalat"/>
          <w:iCs/>
          <w:color w:val="000000" w:themeColor="text1"/>
          <w:sz w:val="24"/>
          <w:szCs w:val="24"/>
          <w:lang w:val="hy-AM"/>
        </w:rPr>
        <w:t>«Հայաստանի Հանրապետություն ներմուծվող</w:t>
      </w:r>
      <w:r w:rsidR="00EE70C3" w:rsidRPr="00EE70C3">
        <w:rPr>
          <w:rFonts w:eastAsia="Times New Roman" w:cs="Calibri"/>
          <w:iCs/>
          <w:color w:val="000000" w:themeColor="text1"/>
          <w:sz w:val="24"/>
          <w:szCs w:val="24"/>
          <w:lang w:val="hy-AM"/>
        </w:rPr>
        <w:t> </w:t>
      </w:r>
      <w:r w:rsidR="00EE70C3" w:rsidRPr="00EE70C3">
        <w:rPr>
          <w:rFonts w:ascii="GHEA Grapalat" w:eastAsia="Times New Roman" w:hAnsi="GHEA Grapalat"/>
          <w:iCs/>
          <w:color w:val="000000" w:themeColor="text1"/>
          <w:sz w:val="24"/>
          <w:szCs w:val="24"/>
          <w:lang w:val="hy-AM"/>
        </w:rPr>
        <w:t xml:space="preserve">սննդամթերքի ռիսկայնության հիման վրա </w:t>
      </w:r>
      <w:r w:rsidR="00EE70C3" w:rsidRPr="00EE70C3">
        <w:rPr>
          <w:rFonts w:ascii="GHEA Grapalat" w:eastAsia="Times New Roman" w:hAnsi="GHEA Grapalat"/>
          <w:iCs/>
          <w:color w:val="000000" w:themeColor="text1"/>
          <w:sz w:val="24"/>
          <w:szCs w:val="24"/>
          <w:lang w:val="hy-AM"/>
        </w:rPr>
        <w:lastRenderedPageBreak/>
        <w:t xml:space="preserve">հսկողության մեթոդաբանությունը հաստատելու մասին» N 218-Ն    </w:t>
      </w:r>
      <w:r w:rsidRPr="00EE70C3">
        <w:rPr>
          <w:rFonts w:ascii="GHEA Grapalat" w:eastAsia="Times New Roman" w:hAnsi="GHEA Grapalat"/>
          <w:iCs/>
          <w:color w:val="000000" w:themeColor="text1"/>
          <w:sz w:val="24"/>
          <w:szCs w:val="24"/>
          <w:lang w:val="hy-AM"/>
        </w:rPr>
        <w:t xml:space="preserve"> որոշ</w:t>
      </w:r>
      <w:r w:rsidR="00EE70C3" w:rsidRPr="00EE70C3">
        <w:rPr>
          <w:rFonts w:ascii="GHEA Grapalat" w:eastAsia="Times New Roman" w:hAnsi="GHEA Grapalat"/>
          <w:iCs/>
          <w:color w:val="000000" w:themeColor="text1"/>
          <w:sz w:val="24"/>
          <w:szCs w:val="24"/>
          <w:lang w:val="hy-AM"/>
        </w:rPr>
        <w:t xml:space="preserve">ումների </w:t>
      </w:r>
      <w:r w:rsidRPr="00EE70C3">
        <w:rPr>
          <w:rFonts w:ascii="GHEA Grapalat" w:eastAsia="Times New Roman" w:hAnsi="GHEA Grapalat"/>
          <w:iCs/>
          <w:color w:val="000000" w:themeColor="text1"/>
          <w:sz w:val="24"/>
          <w:szCs w:val="24"/>
          <w:lang w:val="hy-AM"/>
        </w:rPr>
        <w:t xml:space="preserve">իմացություն։ </w:t>
      </w:r>
    </w:p>
    <w:p w14:paraId="5578745D" w14:textId="77777777"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769E87A7" w14:textId="77777777" w:rsidR="002A6B64" w:rsidRDefault="002A6B64"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3554FA4C"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CF5A8F">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E720D8">
        <w:rPr>
          <w:rFonts w:ascii="GHEA Grapalat" w:eastAsiaTheme="minorHAnsi" w:hAnsi="GHEA Grapalat" w:cstheme="minorBidi"/>
          <w:b/>
          <w:bCs/>
          <w:lang w:val="hy-AM"/>
        </w:rPr>
        <w:t xml:space="preserve">փետրվարի </w:t>
      </w:r>
      <w:r w:rsidR="00CF5A8F">
        <w:rPr>
          <w:rFonts w:ascii="GHEA Grapalat" w:eastAsiaTheme="minorHAnsi" w:hAnsi="GHEA Grapalat" w:cstheme="minorBidi"/>
          <w:b/>
          <w:bCs/>
          <w:lang w:val="hy-AM"/>
        </w:rPr>
        <w:t>1</w:t>
      </w:r>
      <w:r w:rsidR="00A72E94">
        <w:rPr>
          <w:rFonts w:ascii="GHEA Grapalat" w:eastAsiaTheme="minorHAnsi" w:hAnsi="GHEA Grapalat" w:cstheme="minorBidi"/>
          <w:b/>
          <w:bCs/>
          <w:lang w:val="hy-AM"/>
        </w:rPr>
        <w:t>8</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BC93744"/>
    <w:multiLevelType w:val="hybridMultilevel"/>
    <w:tmpl w:val="BE2ACC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74A8256D"/>
    <w:multiLevelType w:val="hybridMultilevel"/>
    <w:tmpl w:val="0FAEF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112147">
    <w:abstractNumId w:val="10"/>
  </w:num>
  <w:num w:numId="2" w16cid:durableId="726685795">
    <w:abstractNumId w:val="5"/>
  </w:num>
  <w:num w:numId="3" w16cid:durableId="887301383">
    <w:abstractNumId w:val="3"/>
  </w:num>
  <w:num w:numId="4" w16cid:durableId="896550484">
    <w:abstractNumId w:val="2"/>
  </w:num>
  <w:num w:numId="5" w16cid:durableId="1289436820">
    <w:abstractNumId w:val="0"/>
  </w:num>
  <w:num w:numId="6" w16cid:durableId="1038631019">
    <w:abstractNumId w:val="4"/>
  </w:num>
  <w:num w:numId="7" w16cid:durableId="411045615">
    <w:abstractNumId w:val="6"/>
  </w:num>
  <w:num w:numId="8" w16cid:durableId="964579018">
    <w:abstractNumId w:val="7"/>
  </w:num>
  <w:num w:numId="9" w16cid:durableId="1400396306">
    <w:abstractNumId w:val="9"/>
  </w:num>
  <w:num w:numId="10" w16cid:durableId="1797990928">
    <w:abstractNumId w:val="8"/>
  </w:num>
  <w:num w:numId="11" w16cid:durableId="446317026">
    <w:abstractNumId w:val="11"/>
  </w:num>
  <w:num w:numId="12" w16cid:durableId="394936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85D4A"/>
    <w:rsid w:val="001F4755"/>
    <w:rsid w:val="00246612"/>
    <w:rsid w:val="002A6B64"/>
    <w:rsid w:val="00300D1A"/>
    <w:rsid w:val="003245F5"/>
    <w:rsid w:val="0037565C"/>
    <w:rsid w:val="00392C92"/>
    <w:rsid w:val="003E40E9"/>
    <w:rsid w:val="004010F2"/>
    <w:rsid w:val="00447486"/>
    <w:rsid w:val="00457EC7"/>
    <w:rsid w:val="0046193E"/>
    <w:rsid w:val="00490096"/>
    <w:rsid w:val="004A0832"/>
    <w:rsid w:val="004B2FE9"/>
    <w:rsid w:val="004F18B2"/>
    <w:rsid w:val="004F76CF"/>
    <w:rsid w:val="005616A9"/>
    <w:rsid w:val="005D5020"/>
    <w:rsid w:val="005E4788"/>
    <w:rsid w:val="005F1EA4"/>
    <w:rsid w:val="006661B7"/>
    <w:rsid w:val="006D5CE4"/>
    <w:rsid w:val="006E1CA2"/>
    <w:rsid w:val="007C6EA6"/>
    <w:rsid w:val="00841530"/>
    <w:rsid w:val="008941A8"/>
    <w:rsid w:val="008F6B05"/>
    <w:rsid w:val="00914441"/>
    <w:rsid w:val="00915378"/>
    <w:rsid w:val="00923746"/>
    <w:rsid w:val="009D4CEE"/>
    <w:rsid w:val="00A141AB"/>
    <w:rsid w:val="00A32EBC"/>
    <w:rsid w:val="00A603CF"/>
    <w:rsid w:val="00A72E94"/>
    <w:rsid w:val="00A8442E"/>
    <w:rsid w:val="00B249BB"/>
    <w:rsid w:val="00BC6D78"/>
    <w:rsid w:val="00BD5A52"/>
    <w:rsid w:val="00C5074B"/>
    <w:rsid w:val="00C80220"/>
    <w:rsid w:val="00C94BB4"/>
    <w:rsid w:val="00CD0B63"/>
    <w:rsid w:val="00CD74CC"/>
    <w:rsid w:val="00CD75FC"/>
    <w:rsid w:val="00CE04FF"/>
    <w:rsid w:val="00CF3862"/>
    <w:rsid w:val="00CF5A8F"/>
    <w:rsid w:val="00D120AC"/>
    <w:rsid w:val="00D41879"/>
    <w:rsid w:val="00D46E39"/>
    <w:rsid w:val="00D57A7E"/>
    <w:rsid w:val="00DA10E3"/>
    <w:rsid w:val="00DA5B25"/>
    <w:rsid w:val="00DD7770"/>
    <w:rsid w:val="00E06F1C"/>
    <w:rsid w:val="00E720D8"/>
    <w:rsid w:val="00E923BD"/>
    <w:rsid w:val="00EA7498"/>
    <w:rsid w:val="00ED4B74"/>
    <w:rsid w:val="00ED5B2F"/>
    <w:rsid w:val="00EE70C3"/>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4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18868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https://mul2-fsss.gov.am/tasks/763361/oneclick?token=542131642584c821aa267e14d93177f6</cp:keywords>
  <cp:lastModifiedBy>Armine Stepanyan</cp:lastModifiedBy>
  <cp:revision>57</cp:revision>
  <cp:lastPrinted>2019-10-03T13:22:00Z</cp:lastPrinted>
  <dcterms:created xsi:type="dcterms:W3CDTF">2019-10-31T05:35:00Z</dcterms:created>
  <dcterms:modified xsi:type="dcterms:W3CDTF">2025-02-12T10:48:00Z</dcterms:modified>
</cp:coreProperties>
</file>